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CC" w:rsidRPr="00DA24CC" w:rsidRDefault="00DA24CC" w:rsidP="00DA24CC">
      <w:pPr>
        <w:spacing w:line="560" w:lineRule="exact"/>
        <w:rPr>
          <w:rFonts w:ascii="Times New Roman" w:eastAsia="方正大标宋简体" w:hAnsi="Times New Roman" w:cs="Times New Roman"/>
          <w:sz w:val="42"/>
          <w:szCs w:val="42"/>
        </w:rPr>
      </w:pPr>
      <w:r w:rsidRPr="00DA24CC">
        <w:rPr>
          <w:rFonts w:ascii="Times New Roman" w:eastAsia="方正大标宋简体" w:hAnsi="Times New Roman" w:cs="Times New Roman"/>
          <w:sz w:val="42"/>
          <w:szCs w:val="42"/>
        </w:rPr>
        <w:t>附件</w:t>
      </w:r>
      <w:r w:rsidRPr="00DA24CC">
        <w:rPr>
          <w:rFonts w:ascii="Times New Roman" w:eastAsia="方正大标宋简体" w:hAnsi="Times New Roman" w:cs="Times New Roman"/>
          <w:sz w:val="42"/>
          <w:szCs w:val="42"/>
        </w:rPr>
        <w:t>2</w:t>
      </w:r>
    </w:p>
    <w:p w:rsidR="00DA24CC" w:rsidRPr="00F652A4" w:rsidRDefault="00DA24CC" w:rsidP="00DA24CC">
      <w:pPr>
        <w:spacing w:line="560" w:lineRule="exact"/>
        <w:jc w:val="center"/>
        <w:rPr>
          <w:rFonts w:ascii="Times New Roman" w:eastAsia="方正大标宋简体" w:hAnsi="Times New Roman" w:cs="Times New Roman"/>
          <w:color w:val="000000"/>
          <w:sz w:val="42"/>
          <w:szCs w:val="42"/>
        </w:rPr>
      </w:pPr>
    </w:p>
    <w:p w:rsidR="00DA24CC" w:rsidRPr="00F652A4" w:rsidRDefault="00DA24CC" w:rsidP="00DA24CC">
      <w:pPr>
        <w:spacing w:line="560" w:lineRule="exact"/>
        <w:jc w:val="center"/>
        <w:rPr>
          <w:rFonts w:ascii="Times New Roman" w:eastAsia="方正大标宋简体" w:hAnsi="Times New Roman" w:cs="Times New Roman"/>
          <w:color w:val="000000"/>
          <w:sz w:val="42"/>
          <w:szCs w:val="42"/>
        </w:rPr>
      </w:pPr>
      <w:r w:rsidRPr="00F652A4">
        <w:rPr>
          <w:rFonts w:ascii="Times New Roman" w:eastAsia="方正大标宋简体" w:hAnsi="Times New Roman" w:cs="Times New Roman" w:hint="eastAsia"/>
          <w:color w:val="000000"/>
          <w:sz w:val="42"/>
          <w:szCs w:val="42"/>
        </w:rPr>
        <w:t>修订</w:t>
      </w:r>
      <w:r w:rsidRPr="00F652A4">
        <w:rPr>
          <w:rFonts w:ascii="Times New Roman" w:eastAsia="方正大标宋简体" w:hAnsi="Times New Roman" w:cs="Times New Roman"/>
          <w:color w:val="000000"/>
          <w:sz w:val="42"/>
          <w:szCs w:val="42"/>
        </w:rPr>
        <w:t>说明</w:t>
      </w:r>
    </w:p>
    <w:p w:rsidR="00DA24CC" w:rsidRPr="00F652A4" w:rsidRDefault="00DA24CC" w:rsidP="00DA24CC">
      <w:pPr>
        <w:spacing w:line="560" w:lineRule="exact"/>
        <w:jc w:val="center"/>
        <w:rPr>
          <w:rFonts w:ascii="Times New Roman" w:eastAsia="方正大标宋简体" w:hAnsi="Times New Roman" w:cs="Times New Roman"/>
          <w:color w:val="000000"/>
          <w:sz w:val="42"/>
          <w:szCs w:val="42"/>
        </w:rPr>
      </w:pPr>
      <w:bookmarkStart w:id="0" w:name="_GoBack"/>
      <w:bookmarkEnd w:id="0"/>
    </w:p>
    <w:p w:rsidR="00DA24CC" w:rsidRPr="00F652A4" w:rsidRDefault="00DA24CC" w:rsidP="00DA24CC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sz w:val="30"/>
          <w:szCs w:val="30"/>
        </w:rPr>
      </w:pP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为更好服务我国</w:t>
      </w:r>
      <w:proofErr w:type="gramStart"/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铅行业</w:t>
      </w:r>
      <w:proofErr w:type="gramEnd"/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发展，促进铅期货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功能发挥，</w:t>
      </w:r>
      <w:r>
        <w:rPr>
          <w:rFonts w:ascii="方正仿宋简体" w:eastAsia="方正仿宋简体" w:hAnsi="仿宋" w:hint="eastAsia"/>
          <w:color w:val="000000"/>
          <w:sz w:val="30"/>
          <w:szCs w:val="30"/>
        </w:rPr>
        <w:t>实现铅期货</w:t>
      </w:r>
      <w:r>
        <w:rPr>
          <w:rFonts w:ascii="方正仿宋简体" w:eastAsia="方正仿宋简体" w:hAnsi="仿宋"/>
          <w:color w:val="000000"/>
          <w:sz w:val="30"/>
          <w:szCs w:val="30"/>
        </w:rPr>
        <w:t>的</w:t>
      </w:r>
      <w:r>
        <w:rPr>
          <w:rFonts w:ascii="方正仿宋简体" w:eastAsia="方正仿宋简体" w:hAnsi="仿宋" w:hint="eastAsia"/>
          <w:color w:val="000000"/>
          <w:sz w:val="30"/>
          <w:szCs w:val="30"/>
        </w:rPr>
        <w:t>平稳</w:t>
      </w:r>
      <w:r>
        <w:rPr>
          <w:rFonts w:ascii="方正仿宋简体" w:eastAsia="方正仿宋简体" w:hAnsi="仿宋"/>
          <w:color w:val="000000"/>
          <w:sz w:val="30"/>
          <w:szCs w:val="30"/>
        </w:rPr>
        <w:t>交割，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上海期货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交易所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根据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2023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年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8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月</w:t>
      </w:r>
      <w:r w:rsidRPr="00CA364A"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国家市场监督管理总局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和国家标准化管理委员会联合发布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的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新版铅锭国家标准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GB/T 469-2023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修订《上海期货交易所铅期货合约》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（以下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简称《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铅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期货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合约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》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）和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《上海期货交易所交割细则》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（以下简称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《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交割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细则》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）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，主要包括如下内容：</w:t>
      </w:r>
    </w:p>
    <w:p w:rsidR="00DA24CC" w:rsidRPr="00F652A4" w:rsidRDefault="00DA24CC" w:rsidP="00DA24CC">
      <w:pPr>
        <w:spacing w:line="560" w:lineRule="exact"/>
        <w:ind w:firstLineChars="200" w:firstLine="602"/>
        <w:rPr>
          <w:rFonts w:ascii="Times New Roman" w:eastAsia="方正仿宋简体" w:hAnsi="Times New Roman" w:cs="Times New Roman"/>
          <w:color w:val="000000"/>
          <w:sz w:val="30"/>
          <w:szCs w:val="30"/>
        </w:rPr>
      </w:pPr>
      <w:r w:rsidRPr="00F652A4">
        <w:rPr>
          <w:rFonts w:ascii="Times New Roman" w:eastAsia="方正仿宋简体" w:hAnsi="Times New Roman" w:cs="Times New Roman"/>
          <w:b/>
          <w:color w:val="000000"/>
          <w:sz w:val="30"/>
          <w:szCs w:val="30"/>
        </w:rPr>
        <w:t>一是修订《铅期货合约》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。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首先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，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将</w:t>
      </w:r>
      <w:r>
        <w:rPr>
          <w:rFonts w:ascii="方正仿宋简体" w:eastAsia="方正仿宋简体" w:hAnsi="Times New Roman" w:cs="Times New Roman" w:hint="eastAsia"/>
          <w:color w:val="000000"/>
          <w:sz w:val="30"/>
          <w:szCs w:val="30"/>
        </w:rPr>
        <w:t>交割品级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修改为：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“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铅锭，符合国标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GB/T469-2023 Pb99.994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规定，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或者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符合国标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GB/T469-2023 Pb99.996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规定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”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。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其次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，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将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《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铅期货合约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》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附件第二部</w:t>
      </w:r>
      <w:r>
        <w:rPr>
          <w:rFonts w:ascii="方正仿宋简体" w:eastAsia="方正仿宋简体" w:hAnsi="Times New Roman" w:cs="Times New Roman" w:hint="eastAsia"/>
          <w:color w:val="000000"/>
          <w:sz w:val="30"/>
          <w:szCs w:val="30"/>
        </w:rPr>
        <w:t>分质量规定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第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1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点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修改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为：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“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用于本合约实物交割的铅锭，必须符合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GB/T469-2023 Pb99.994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规定，或者符合国标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GB/T469-2023 Pb99.996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规定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”。将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第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2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点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修改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为：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“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外型及块重。</w:t>
      </w:r>
      <w:r w:rsidRPr="00A92ECC"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交割的铅应为锭，国产铅的每锭重量为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48kg</w:t>
      </w:r>
      <w:r w:rsidRPr="00E75809">
        <w:rPr>
          <w:rFonts w:ascii="方正仿宋简体" w:eastAsia="方正仿宋简体" w:hAnsi="Times New Roman" w:cs="Times New Roman" w:hint="eastAsia"/>
          <w:color w:val="000000"/>
          <w:sz w:val="30"/>
          <w:szCs w:val="30"/>
        </w:rPr>
        <w:t>±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3kg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、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42kg</w:t>
      </w:r>
      <w:r w:rsidRPr="00E75809">
        <w:rPr>
          <w:rFonts w:ascii="方正仿宋简体" w:eastAsia="方正仿宋简体" w:hAnsi="Times New Roman" w:cs="Times New Roman" w:hint="eastAsia"/>
          <w:color w:val="000000"/>
          <w:sz w:val="30"/>
          <w:szCs w:val="30"/>
        </w:rPr>
        <w:t>±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2kg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、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24kg</w:t>
      </w:r>
      <w:r w:rsidRPr="00E75809">
        <w:rPr>
          <w:rFonts w:ascii="方正仿宋简体" w:eastAsia="方正仿宋简体" w:hAnsi="Times New Roman" w:cs="Times New Roman" w:hint="eastAsia"/>
          <w:color w:val="000000"/>
          <w:sz w:val="30"/>
          <w:szCs w:val="30"/>
        </w:rPr>
        <w:t>±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1kg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”</w:t>
      </w:r>
      <w:r w:rsidRPr="00F652A4"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；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删除</w:t>
      </w:r>
      <w:r w:rsidRPr="00F652A4"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原规定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当中的</w:t>
      </w:r>
      <w:r w:rsidRPr="00F652A4"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“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40kg</w:t>
      </w:r>
      <w:r w:rsidRPr="00E75809">
        <w:rPr>
          <w:rFonts w:ascii="方正仿宋简体" w:eastAsia="方正仿宋简体" w:hAnsi="Times New Roman" w:cs="Times New Roman" w:hint="eastAsia"/>
          <w:color w:val="000000"/>
          <w:sz w:val="30"/>
          <w:szCs w:val="30"/>
        </w:rPr>
        <w:t>±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2kg</w:t>
      </w:r>
      <w:r w:rsidRPr="00F652A4"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”这一规格。</w:t>
      </w:r>
    </w:p>
    <w:p w:rsidR="00DA24CC" w:rsidRPr="00F652A4" w:rsidRDefault="00DA24CC" w:rsidP="00DA24CC">
      <w:pPr>
        <w:spacing w:line="560" w:lineRule="exact"/>
        <w:ind w:firstLineChars="200" w:firstLine="602"/>
        <w:rPr>
          <w:rFonts w:ascii="Times New Roman" w:eastAsia="方正仿宋简体" w:hAnsi="Times New Roman" w:cs="Times New Roman"/>
          <w:color w:val="000000"/>
          <w:sz w:val="30"/>
          <w:szCs w:val="30"/>
        </w:rPr>
      </w:pPr>
      <w:r w:rsidRPr="00F652A4">
        <w:rPr>
          <w:rFonts w:ascii="Times New Roman" w:eastAsia="方正仿宋简体" w:hAnsi="Times New Roman" w:cs="Times New Roman"/>
          <w:b/>
          <w:color w:val="000000"/>
          <w:sz w:val="30"/>
          <w:szCs w:val="30"/>
        </w:rPr>
        <w:t>二是修订《交割细则》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。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将</w:t>
      </w:r>
      <w:r w:rsidRPr="00F652A4">
        <w:rPr>
          <w:rFonts w:ascii="方正仿宋简体" w:eastAsia="方正仿宋简体" w:hAnsi="Times New Roman" w:cs="Times New Roman" w:hint="eastAsia"/>
          <w:color w:val="000000"/>
          <w:sz w:val="30"/>
          <w:szCs w:val="30"/>
        </w:rPr>
        <w:t>第四十三条</w:t>
      </w:r>
      <w:r>
        <w:rPr>
          <w:rFonts w:ascii="方正仿宋简体" w:eastAsia="方正仿宋简体" w:hAnsi="仿宋" w:hint="eastAsia"/>
          <w:color w:val="000000"/>
          <w:sz w:val="30"/>
          <w:szCs w:val="30"/>
        </w:rPr>
        <w:t>第</w:t>
      </w:r>
      <w:r>
        <w:rPr>
          <w:rFonts w:ascii="方正仿宋简体" w:eastAsia="方正仿宋简体" w:hAnsi="仿宋"/>
          <w:color w:val="000000"/>
          <w:sz w:val="30"/>
          <w:szCs w:val="30"/>
        </w:rPr>
        <w:t>（</w:t>
      </w:r>
      <w:r>
        <w:rPr>
          <w:rFonts w:ascii="方正仿宋简体" w:eastAsia="方正仿宋简体" w:hAnsi="仿宋" w:hint="eastAsia"/>
          <w:color w:val="000000"/>
          <w:sz w:val="30"/>
          <w:szCs w:val="30"/>
        </w:rPr>
        <w:t>三</w:t>
      </w:r>
      <w:r>
        <w:rPr>
          <w:rFonts w:ascii="方正仿宋简体" w:eastAsia="方正仿宋简体" w:hAnsi="仿宋"/>
          <w:color w:val="000000"/>
          <w:sz w:val="30"/>
          <w:szCs w:val="30"/>
        </w:rPr>
        <w:t>）</w:t>
      </w:r>
      <w:proofErr w:type="gramStart"/>
      <w:r>
        <w:rPr>
          <w:rFonts w:ascii="方正仿宋简体" w:eastAsia="方正仿宋简体" w:hAnsi="仿宋" w:hint="eastAsia"/>
          <w:color w:val="000000"/>
          <w:sz w:val="30"/>
          <w:szCs w:val="30"/>
        </w:rPr>
        <w:t>款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修改</w:t>
      </w:r>
      <w:proofErr w:type="gramEnd"/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为：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“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国产铅的每锭重量为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48kg</w:t>
      </w:r>
      <w:r w:rsidRPr="00E75809">
        <w:rPr>
          <w:rFonts w:ascii="方正仿宋简体" w:eastAsia="方正仿宋简体" w:hAnsi="Times New Roman" w:cs="Times New Roman" w:hint="eastAsia"/>
          <w:color w:val="000000"/>
          <w:sz w:val="30"/>
          <w:szCs w:val="30"/>
        </w:rPr>
        <w:t>±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3kg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、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42kg±2kg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、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24kg±1k</w:t>
      </w:r>
      <w:r w:rsidRPr="00A92ECC">
        <w:rPr>
          <w:rFonts w:ascii="方正仿宋简体" w:eastAsia="方正仿宋简体" w:hAnsi="Times New Roman" w:cs="Times New Roman" w:hint="eastAsia"/>
          <w:color w:val="000000"/>
          <w:sz w:val="30"/>
          <w:szCs w:val="30"/>
        </w:rPr>
        <w:t>”</w:t>
      </w:r>
      <w:r w:rsidRPr="00F652A4"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；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删除</w:t>
      </w:r>
      <w:r w:rsidRPr="00F652A4"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原规定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当中的</w:t>
      </w:r>
      <w:r w:rsidRPr="00F652A4"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“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40kg</w:t>
      </w:r>
      <w:r w:rsidRPr="00E75809">
        <w:rPr>
          <w:rFonts w:ascii="方正仿宋简体" w:eastAsia="方正仿宋简体" w:hAnsi="Times New Roman" w:cs="Times New Roman" w:hint="eastAsia"/>
          <w:color w:val="000000"/>
          <w:sz w:val="30"/>
          <w:szCs w:val="30"/>
        </w:rPr>
        <w:t>±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2kg</w:t>
      </w:r>
      <w:r w:rsidRPr="00F652A4"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”这一</w:t>
      </w:r>
      <w:r w:rsidRPr="00F652A4">
        <w:rPr>
          <w:rFonts w:ascii="Times New Roman" w:eastAsia="方正仿宋简体" w:hAnsi="Times New Roman" w:cs="Times New Roman"/>
          <w:color w:val="000000"/>
          <w:sz w:val="30"/>
          <w:szCs w:val="30"/>
        </w:rPr>
        <w:t>规格。</w:t>
      </w:r>
    </w:p>
    <w:p w:rsidR="0019000D" w:rsidRPr="00DA24CC" w:rsidRDefault="0019000D"/>
    <w:sectPr w:rsidR="0019000D" w:rsidRPr="00DA2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CC"/>
    <w:rsid w:val="0019000D"/>
    <w:rsid w:val="00DA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8FFB2-A667-4979-A995-A996CE38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shfe</dc:creator>
  <cp:keywords/>
  <dc:description/>
  <cp:lastModifiedBy>shfe</cp:lastModifiedBy>
  <cp:revision>1</cp:revision>
  <dcterms:created xsi:type="dcterms:W3CDTF">2024-04-12T08:26:00Z</dcterms:created>
  <dcterms:modified xsi:type="dcterms:W3CDTF">2024-04-12T08:26:00Z</dcterms:modified>
</cp:coreProperties>
</file>